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о проведении общественного обсуждения проекта 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«Развитие и поддержка субъектов малого и среднего предпринимательства Анжеро-Судженского городского округа»</w:t>
      </w:r>
    </w:p>
    <w:p>
      <w:pPr>
        <w:spacing/>
        <w:jc w:val="both"/>
      </w:pPr>
      <w:r/>
    </w:p>
    <w:tbl>
      <w:tblPr>
        <w:name w:val="Таблица2"/>
        <w:tabOrder w:val="0"/>
        <w:jc w:val="center"/>
        <w:tblInd w:w="0" w:type="dxa"/>
        <w:tblW w:w="9680" w:type="dxa"/>
        <w:pPr>
          <w:ind w:left="-7"/>
          <w:spacing/>
          <w:jc w:val="center"/>
        </w:pPr>
      </w:tblPr>
      <w:tblGrid>
        <w:gridCol w:w="3880"/>
        <w:gridCol w:w="5800"/>
      </w:tblGrid>
      <w:tr>
        <w:trPr>
          <w:tblHeader w:val="0"/>
          <w:cantSplit w:val="0"/>
          <w:trHeight w:val="1125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  <w:r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  <w:t>Наименование</w:t>
            </w:r>
            <w:r>
              <w:rPr>
                <w:rFonts w:eastAsia="SimSun"/>
                <w:spacing w:val="-10" w:percent="89"/>
                <w:kern w:val="1"/>
                <w:sz w:val="20"/>
                <w:szCs w:val="20"/>
                <w:lang w:val="ru-ru" w:eastAsia="zh-cn" w:bidi="ar-sa"/>
              </w:rPr>
              <w:t xml:space="preserve"> </w:t>
            </w:r>
            <w:r>
              <w:rPr>
                <w:rFonts w:eastAsia="SimSun"/>
                <w:spacing w:val="-2" w:percent="98"/>
                <w:kern w:val="1"/>
                <w:sz w:val="20"/>
                <w:szCs w:val="20"/>
                <w:lang w:val="ru-ru" w:eastAsia="zh-cn" w:bidi="ar-sa"/>
              </w:rPr>
              <w:t>проекта</w:t>
            </w:r>
            <w:r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r>
          </w:p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документа, подлежащего общественному</w:t>
            </w:r>
            <w:r>
              <w:rPr>
                <w:rFonts w:ascii="PT Astra Serif" w:hAnsi="PT Astra Serif" w:cs="PT Astra Serif"/>
                <w:spacing w:val="-14" w:percent="8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обсуждению: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spacing/>
              <w:jc w:val="both"/>
              <w:suppressAutoHyphens/>
              <w:hyphenationLine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постановления администрации Анжеро-Судженского городского округа «Об утверждении муниципальной программы администрации Анжеро-Судженского городского округа «Развитие и поддержка субъектов малого и среднего предпринимательства Анжеро-Судженского городского округа»</w:t>
            </w:r>
          </w:p>
        </w:tc>
      </w:tr>
      <w:tr>
        <w:trPr>
          <w:tblHeader w:val="0"/>
          <w:cantSplit w:val="0"/>
          <w:trHeight w:val="618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Организатор</w:t>
            </w:r>
            <w:r>
              <w:rPr>
                <w:rFonts w:ascii="PT Astra Serif" w:hAnsi="PT Astra Serif" w:cs="PT Astra Serif"/>
                <w:spacing w:val="-14" w:percent="8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 xml:space="preserve">общественного </w:t>
            </w:r>
            <w:r>
              <w:rPr>
                <w:rFonts w:ascii="PT Astra Serif" w:hAnsi="PT Astra Serif" w:cs="PT Astra Serif"/>
                <w:spacing w:val="-2" w:percent="98"/>
                <w:sz w:val="22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t>Отдел промышленности и предпринимательства управления экономического развития, промышленности и предпринимательства администрации Анжеро-Судженского городского округа</w:t>
            </w:r>
          </w:p>
        </w:tc>
      </w:tr>
      <w:tr>
        <w:trPr>
          <w:tblHeader w:val="0"/>
          <w:cantSplit w:val="0"/>
          <w:trHeight w:val="870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Форма</w:t>
            </w:r>
            <w:r>
              <w:rPr>
                <w:rFonts w:ascii="PT Astra Serif" w:hAnsi="PT Astra Serif" w:cs="PT Astra Serif"/>
                <w:spacing w:val="-14" w:percent="8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 xml:space="preserve">общественного </w:t>
            </w:r>
            <w:r>
              <w:rPr>
                <w:rFonts w:ascii="PT Astra Serif" w:hAnsi="PT Astra Serif" w:cs="PT Astra Serif"/>
                <w:spacing w:val="-2" w:percent="98"/>
                <w:sz w:val="22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t>Размещение</w:t>
            </w:r>
            <w:r>
              <w:rPr>
                <w:spacing w:val="-12" w:percent="89"/>
              </w:rPr>
              <w:t xml:space="preserve"> </w:t>
            </w:r>
            <w:r>
              <w:t>проекта</w:t>
            </w:r>
            <w:r>
              <w:rPr>
                <w:spacing w:val="-10" w:percent="91"/>
              </w:rPr>
              <w:t xml:space="preserve"> </w:t>
            </w:r>
            <w:r>
              <w:t>НПА</w:t>
            </w:r>
            <w:r>
              <w:rPr>
                <w:spacing w:val="-10" w:percent="91"/>
              </w:rPr>
              <w:t xml:space="preserve"> </w:t>
            </w:r>
            <w:r>
              <w:t>в</w:t>
            </w:r>
            <w:r>
              <w:rPr>
                <w:spacing w:val="-11" w:percent="90"/>
              </w:rPr>
              <w:t xml:space="preserve"> </w:t>
            </w:r>
            <w:r>
              <w:t>информационно-телекоммуникационной</w:t>
            </w:r>
            <w:r>
              <w:rPr>
                <w:spacing w:val="-9" w:percent="92"/>
              </w:rPr>
              <w:t xml:space="preserve"> </w:t>
            </w:r>
            <w:r>
              <w:rPr>
                <w:spacing w:val="-4" w:percent="96"/>
              </w:rPr>
              <w:t>сети</w:t>
            </w:r>
            <w:r/>
          </w:p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«Интернет»</w:t>
            </w:r>
            <w:r>
              <w:rPr>
                <w:rFonts w:ascii="PT Astra Serif" w:hAnsi="PT Astra Serif" w:cs="PT Astra Serif"/>
                <w:spacing w:val="-9" w:percent="91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на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официальном</w:t>
            </w:r>
            <w:r>
              <w:rPr>
                <w:rFonts w:ascii="PT Astra Serif" w:hAnsi="PT Astra Serif" w:cs="PT Astra Serif"/>
                <w:spacing w:val="-6" w:percent="94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сайте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 xml:space="preserve">администрации Анжеро-Судженского городского </w:t>
            </w:r>
            <w:r>
              <w:rPr>
                <w:rFonts w:ascii="PT Astra Serif" w:hAnsi="PT Astra Serif" w:cs="PT Astra Serif"/>
                <w:spacing w:val="-2" w:percent="98"/>
                <w:sz w:val="22"/>
              </w:rPr>
              <w:t>округа (</w:t>
            </w:r>
            <w:r>
              <w:rPr>
                <w:rFonts w:ascii="PT Astra Serif" w:hAnsi="PT Astra Serif" w:cs="PT Astra Serif"/>
                <w:color w:val="0000ff"/>
                <w:spacing w:val="-2" w:percent="98"/>
                <w:sz w:val="22"/>
                <w:u w:color="auto" w:val="single"/>
              </w:rPr>
              <w:t>https://www.anzhero.ru/)</w:t>
            </w:r>
            <w:r/>
          </w:p>
        </w:tc>
      </w:tr>
      <w:tr>
        <w:trPr>
          <w:tblHeader w:val="0"/>
          <w:cantSplit w:val="0"/>
          <w:trHeight w:val="360" w:hRule="atLeast"/>
        </w:trPr>
        <w:tc>
          <w:tcPr>
            <w:tcW w:w="3880" w:type="dxa"/>
            <w:vMerge w:val="restart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pacing w:val="-2" w:percent="98"/>
                <w:sz w:val="22"/>
              </w:rPr>
              <w:t>Контакт: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Почтовый</w:t>
            </w:r>
            <w:r>
              <w:rPr>
                <w:rFonts w:ascii="PT Astra Serif" w:hAnsi="PT Astra Serif" w:cs="PT Astra Serif"/>
                <w:spacing w:val="-4" w:percent="9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адрес:</w:t>
            </w:r>
            <w:r>
              <w:rPr>
                <w:rFonts w:ascii="PT Astra Serif" w:hAnsi="PT Astra Serif" w:cs="PT Astra Serif"/>
                <w:spacing w:val="-2" w:percent="98"/>
                <w:sz w:val="22"/>
              </w:rPr>
              <w:t xml:space="preserve"> </w:t>
            </w:r>
            <w:r>
              <w:t xml:space="preserve">Кемеровская область-Кузбасс, </w:t>
            </w:r>
          </w:p>
          <w:p>
            <w:pPr>
              <w:pStyle w:val="para4"/>
            </w:pPr>
            <w:r>
              <w:t>г. Анжеро-Судженск, ул. Ленина, д. 6, каб. 409</w:t>
            </w:r>
          </w:p>
        </w:tc>
      </w:tr>
      <w:tr>
        <w:trPr>
          <w:tblHeader w:val="0"/>
          <w:cantSplit w:val="0"/>
          <w:trHeight w:val="366" w:hRule="atLeast"/>
        </w:trPr>
        <w:tc>
          <w:tcPr>
            <w:tcW w:w="3880" w:type="dxa"/>
            <w:vMerge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/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Телефон:</w:t>
            </w:r>
            <w:r>
              <w:t xml:space="preserve"> 8(384-53) 6-56-17</w:t>
            </w:r>
          </w:p>
        </w:tc>
      </w:tr>
      <w:tr>
        <w:trPr>
          <w:tblHeader w:val="0"/>
          <w:cantSplit w:val="0"/>
          <w:trHeight w:val="366" w:hRule="atLeast"/>
        </w:trPr>
        <w:tc>
          <w:tcPr>
            <w:tcW w:w="3880" w:type="dxa"/>
            <w:vMerge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/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Контактное</w:t>
            </w:r>
            <w:r>
              <w:rPr>
                <w:rFonts w:ascii="PT Astra Serif" w:hAnsi="PT Astra Serif" w:cs="PT Astra Serif"/>
                <w:spacing w:val="-6" w:percent="94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лицо: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t>Лорей Дмитрий Александрович</w:t>
            </w:r>
          </w:p>
        </w:tc>
      </w:tr>
      <w:tr>
        <w:trPr>
          <w:tblHeader w:val="0"/>
          <w:cantSplit w:val="0"/>
          <w:trHeight w:val="366" w:hRule="atLeast"/>
        </w:trPr>
        <w:tc>
          <w:tcPr>
            <w:tcW w:w="3880" w:type="dxa"/>
            <w:vMerge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/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Адрес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электронной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почты:</w:t>
            </w:r>
            <w:r>
              <w:rPr>
                <w:rFonts w:ascii="PT Astra Serif" w:hAnsi="PT Astra Serif" w:cs="PT Astra Serif"/>
                <w:spacing w:val="49" w:percent="149"/>
                <w:sz w:val="22"/>
              </w:rPr>
              <w:t xml:space="preserve"> </w:t>
            </w:r>
            <w:r>
              <w:t>promotdel@anzhero.ru</w:t>
            </w:r>
          </w:p>
        </w:tc>
      </w:tr>
      <w:tr>
        <w:trPr>
          <w:tblHeader w:val="0"/>
          <w:cantSplit w:val="0"/>
          <w:trHeight w:val="364" w:hRule="atLeast"/>
        </w:trPr>
        <w:tc>
          <w:tcPr>
            <w:tcW w:w="3880" w:type="dxa"/>
            <w:vMerge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/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/>
          </w:p>
        </w:tc>
      </w:tr>
      <w:tr>
        <w:trPr>
          <w:tblHeader w:val="0"/>
          <w:cantSplit w:val="0"/>
          <w:trHeight w:val="733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Срок</w:t>
            </w:r>
            <w:r>
              <w:rPr>
                <w:rFonts w:ascii="PT Astra Serif" w:hAnsi="PT Astra Serif" w:cs="PT Astra Serif"/>
                <w:spacing w:val="-14" w:percent="8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 xml:space="preserve">общественного </w:t>
            </w:r>
            <w:r>
              <w:rPr>
                <w:rFonts w:ascii="PT Astra Serif" w:hAnsi="PT Astra Serif" w:cs="PT Astra Serif"/>
                <w:spacing w:val="-2" w:percent="98"/>
                <w:sz w:val="22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t>Дата</w:t>
            </w:r>
            <w:r>
              <w:rPr>
                <w:spacing w:val="-11" w:percent="90"/>
              </w:rPr>
              <w:t xml:space="preserve"> </w:t>
            </w:r>
            <w:r>
              <w:t>начала</w:t>
            </w:r>
            <w:r>
              <w:rPr>
                <w:spacing w:val="-7" w:percent="94"/>
              </w:rPr>
              <w:t xml:space="preserve"> </w:t>
            </w:r>
            <w:r>
              <w:t>общественного</w:t>
            </w:r>
            <w:r>
              <w:rPr>
                <w:spacing w:val="-9" w:percent="92"/>
              </w:rPr>
              <w:t xml:space="preserve"> </w:t>
            </w:r>
            <w:r>
              <w:t>обсуждения:</w:t>
            </w:r>
            <w:r>
              <w:rPr>
                <w:spacing w:val="-7" w:percent="94"/>
              </w:rPr>
              <w:t xml:space="preserve"> </w:t>
            </w:r>
            <w:r>
              <w:t>13.08.2025</w:t>
            </w:r>
          </w:p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Дата</w:t>
            </w:r>
            <w:r>
              <w:rPr>
                <w:rFonts w:ascii="PT Astra Serif" w:hAnsi="PT Astra Serif" w:cs="PT Astra Serif"/>
                <w:spacing w:val="-9" w:percent="91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окончания</w:t>
            </w:r>
            <w:r>
              <w:rPr>
                <w:rFonts w:ascii="PT Astra Serif" w:hAnsi="PT Astra Serif" w:cs="PT Astra Serif"/>
                <w:spacing w:val="-8" w:percent="92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общественного</w:t>
            </w:r>
            <w:r>
              <w:rPr>
                <w:rFonts w:ascii="PT Astra Serif" w:hAnsi="PT Astra Serif" w:cs="PT Astra Serif"/>
                <w:spacing w:val="-7" w:percent="93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обсуждения:</w:t>
            </w:r>
            <w:r>
              <w:rPr>
                <w:rFonts w:ascii="PT Astra Serif" w:hAnsi="PT Astra Serif" w:cs="PT Astra Serif"/>
                <w:spacing w:val="-6" w:percent="94"/>
                <w:sz w:val="22"/>
              </w:rPr>
              <w:t xml:space="preserve"> </w:t>
            </w:r>
            <w:r>
              <w:t>27.08.2025</w:t>
            </w:r>
          </w:p>
        </w:tc>
      </w:tr>
      <w:tr>
        <w:trPr>
          <w:tblHeader w:val="0"/>
          <w:cantSplit w:val="0"/>
          <w:trHeight w:val="1690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Порядок</w:t>
            </w:r>
            <w:r>
              <w:rPr>
                <w:rFonts w:ascii="PT Astra Serif" w:hAnsi="PT Astra Serif" w:cs="PT Astra Serif"/>
                <w:spacing w:val="-14" w:percent="8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 xml:space="preserve">общественного </w:t>
            </w:r>
            <w:r>
              <w:rPr>
                <w:rFonts w:ascii="PT Astra Serif" w:hAnsi="PT Astra Serif" w:cs="PT Astra Serif"/>
                <w:spacing w:val="-2" w:percent="98"/>
                <w:sz w:val="22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  <w:spacing/>
              <w:jc w:val="both"/>
            </w:pPr>
            <w:r>
              <w:rPr>
                <w:rFonts w:ascii="PT Astra Serif" w:hAnsi="PT Astra Serif" w:cs="PT Astra Serif"/>
                <w:sz w:val="22"/>
              </w:rPr>
              <w:t>Общественное обсуждение проводится путем размещения проекта  на официальном сайте администрации Анжеро-Судженского городского округа в информационно-телекоммуникационной сети «Интернет». Информация, полученная в ходе общественного обсуждения, носит рекомендательный характер.</w:t>
            </w:r>
            <w:r/>
          </w:p>
        </w:tc>
      </w:tr>
      <w:tr>
        <w:trPr>
          <w:tblHeader w:val="0"/>
          <w:cantSplit w:val="0"/>
          <w:trHeight w:val="2165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t>Способ</w:t>
            </w:r>
            <w:r>
              <w:rPr>
                <w:spacing w:val="-13" w:percent="88"/>
              </w:rPr>
              <w:t xml:space="preserve"> </w:t>
            </w:r>
            <w:r>
              <w:t>подачи</w:t>
            </w:r>
            <w:r>
              <w:rPr>
                <w:spacing w:val="-14" w:percent="87"/>
              </w:rPr>
              <w:t xml:space="preserve"> </w:t>
            </w:r>
            <w:r>
              <w:t>предложений</w:t>
            </w:r>
            <w:r>
              <w:rPr>
                <w:spacing w:val="-13" w:percent="88"/>
              </w:rPr>
              <w:t xml:space="preserve"> </w:t>
            </w:r>
            <w:r>
              <w:t>и замечаний, требования к их</w:t>
            </w:r>
            <w:r/>
          </w:p>
          <w:p>
            <w:pPr>
              <w:pStyle w:val="para4"/>
            </w:pPr>
            <w:r>
              <w:rPr>
                <w:rFonts w:ascii="PT Astra Serif" w:hAnsi="PT Astra Serif" w:cs="PT Astra Serif"/>
                <w:spacing w:val="-2" w:percent="98"/>
                <w:sz w:val="22"/>
              </w:rPr>
              <w:t>оформлению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  <w:spacing/>
              <w:jc w:val="both"/>
            </w:pPr>
            <w:r>
              <w:t>При</w:t>
            </w:r>
            <w:r>
              <w:rPr>
                <w:spacing w:val="-6" w:percent="95"/>
              </w:rPr>
              <w:t xml:space="preserve"> </w:t>
            </w:r>
            <w:r>
              <w:t>подаче</w:t>
            </w:r>
            <w:r>
              <w:rPr>
                <w:spacing w:val="-6" w:percent="95"/>
              </w:rPr>
              <w:t xml:space="preserve"> </w:t>
            </w:r>
            <w:r>
              <w:t>предложений</w:t>
            </w:r>
            <w:r>
              <w:rPr>
                <w:spacing w:val="-9" w:percent="92"/>
              </w:rPr>
              <w:t xml:space="preserve"> </w:t>
            </w:r>
            <w:r>
              <w:t>и</w:t>
            </w:r>
            <w:r>
              <w:rPr>
                <w:spacing w:val="-6" w:percent="95"/>
              </w:rPr>
              <w:t xml:space="preserve"> </w:t>
            </w:r>
            <w:r>
              <w:t>замечаний</w:t>
            </w:r>
            <w:r>
              <w:rPr>
                <w:spacing w:val="-7" w:percent="94"/>
              </w:rPr>
              <w:t xml:space="preserve"> </w:t>
            </w:r>
            <w:r>
              <w:t>обязательно</w:t>
            </w:r>
            <w:r>
              <w:rPr>
                <w:spacing w:val="-9" w:percent="92"/>
              </w:rPr>
              <w:t xml:space="preserve"> </w:t>
            </w:r>
            <w:r>
              <w:t>указывается</w:t>
            </w:r>
            <w:r>
              <w:rPr>
                <w:spacing w:val="-7" w:percent="94"/>
              </w:rPr>
              <w:t xml:space="preserve"> </w:t>
            </w:r>
            <w:r>
              <w:t>фамилия, имя, отчество, место жительства, адрес электронной почты, телефон участника</w:t>
            </w:r>
            <w:r>
              <w:rPr>
                <w:spacing w:val="-7" w:percent="94"/>
              </w:rPr>
              <w:t xml:space="preserve"> </w:t>
            </w:r>
            <w:r>
              <w:t>общественного</w:t>
            </w:r>
            <w:r>
              <w:rPr>
                <w:spacing w:val="-7" w:percent="94"/>
              </w:rPr>
              <w:t xml:space="preserve"> </w:t>
            </w:r>
            <w:r>
              <w:t>обсуждения,</w:t>
            </w:r>
            <w:r>
              <w:rPr>
                <w:spacing w:val="-7" w:percent="94"/>
              </w:rPr>
              <w:t xml:space="preserve"> </w:t>
            </w:r>
            <w:r>
              <w:t>наименование</w:t>
            </w:r>
            <w:r>
              <w:rPr>
                <w:spacing w:val="-7" w:percent="94"/>
              </w:rPr>
              <w:t xml:space="preserve"> </w:t>
            </w:r>
            <w:r>
              <w:t>организации</w:t>
            </w:r>
            <w:r>
              <w:rPr>
                <w:spacing w:val="-9" w:percent="92"/>
              </w:rPr>
              <w:t xml:space="preserve"> </w:t>
            </w:r>
            <w:r>
              <w:t>(в</w:t>
            </w:r>
            <w:r>
              <w:rPr>
                <w:spacing w:val="-7" w:percent="94"/>
              </w:rPr>
              <w:t xml:space="preserve"> </w:t>
            </w:r>
            <w:r>
              <w:t>случае принадлежности участника к какой-либо организации).</w:t>
            </w:r>
          </w:p>
          <w:p>
            <w:pPr>
              <w:pStyle w:val="para4"/>
              <w:spacing/>
              <w:jc w:val="both"/>
            </w:pPr>
            <w:r>
              <w:rPr>
                <w:rFonts w:ascii="PT Astra Serif" w:hAnsi="PT Astra Serif" w:cs="PT Astra Serif"/>
                <w:sz w:val="22"/>
              </w:rPr>
              <w:t>Предложения и замечания участников общественного обсуждения, поступившие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после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срока</w:t>
            </w:r>
            <w:r>
              <w:rPr>
                <w:rFonts w:ascii="PT Astra Serif" w:hAnsi="PT Astra Serif" w:cs="PT Astra Serif"/>
                <w:spacing w:val="-7" w:percent="93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(даты)</w:t>
            </w:r>
            <w:r>
              <w:rPr>
                <w:rFonts w:ascii="PT Astra Serif" w:hAnsi="PT Astra Serif" w:cs="PT Astra Serif"/>
                <w:spacing w:val="-4" w:percent="9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окончания</w:t>
            </w:r>
            <w:r>
              <w:rPr>
                <w:rFonts w:ascii="PT Astra Serif" w:hAnsi="PT Astra Serif" w:cs="PT Astra Serif"/>
                <w:spacing w:val="-6" w:percent="94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общественного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обсуждения,</w:t>
            </w:r>
            <w:r>
              <w:rPr>
                <w:rFonts w:ascii="PT Astra Serif" w:hAnsi="PT Astra Serif" w:cs="PT Astra Serif"/>
                <w:spacing w:val="-5" w:percent="95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>не учитываются при доработке проекта</w:t>
            </w:r>
            <w:r/>
          </w:p>
        </w:tc>
      </w:tr>
      <w:tr>
        <w:trPr>
          <w:tblHeader w:val="0"/>
          <w:cantSplit w:val="0"/>
          <w:trHeight w:val="872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t>Текст</w:t>
            </w:r>
            <w:r>
              <w:rPr>
                <w:spacing w:val="-3" w:percent="97"/>
              </w:rPr>
              <w:t xml:space="preserve"> </w:t>
            </w:r>
            <w:r>
              <w:t>проекта</w:t>
            </w:r>
            <w:r>
              <w:rPr>
                <w:spacing w:val="-6" w:percent="95"/>
              </w:rPr>
              <w:t xml:space="preserve"> </w:t>
            </w:r>
            <w:r>
              <w:rPr>
                <w:spacing w:val="-2" w:percent="98"/>
              </w:rPr>
              <w:t>документа,</w:t>
            </w:r>
            <w:r/>
          </w:p>
          <w:p>
            <w:pPr>
              <w:pStyle w:val="para4"/>
            </w:pPr>
            <w:r>
              <w:rPr>
                <w:rFonts w:ascii="PT Astra Serif" w:hAnsi="PT Astra Serif" w:cs="PT Astra Serif"/>
                <w:sz w:val="22"/>
              </w:rPr>
              <w:t>подлежащего</w:t>
            </w:r>
            <w:r>
              <w:rPr>
                <w:rFonts w:ascii="PT Astra Serif" w:hAnsi="PT Astra Serif" w:cs="PT Astra Serif"/>
                <w:spacing w:val="-14" w:percent="86"/>
                <w:sz w:val="22"/>
              </w:rPr>
              <w:t xml:space="preserve"> </w:t>
            </w:r>
            <w:r>
              <w:rPr>
                <w:rFonts w:ascii="PT Astra Serif" w:hAnsi="PT Astra Serif" w:cs="PT Astra Serif"/>
                <w:sz w:val="22"/>
              </w:rPr>
              <w:t xml:space="preserve">общественному </w:t>
            </w:r>
            <w:r>
              <w:rPr>
                <w:rFonts w:ascii="PT Astra Serif" w:hAnsi="PT Astra Serif" w:cs="PT Astra Serif"/>
                <w:spacing w:val="-2" w:percent="98"/>
                <w:sz w:val="22"/>
              </w:rPr>
              <w:t>обсуждению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4964045" protected="1"/>
          </w:tcPr>
          <w:p>
            <w:pPr>
              <w:pStyle w:val="para4"/>
            </w:pPr>
            <w:r>
              <w:rPr>
                <w:rFonts w:ascii="PT Astra Serif" w:hAnsi="PT Astra Serif" w:cs="PT Astra Serif"/>
                <w:spacing w:val="-2" w:percent="98"/>
                <w:sz w:val="22"/>
              </w:rPr>
              <w:t>Прилагается</w:t>
            </w:r>
            <w:r/>
          </w:p>
        </w:tc>
      </w:tr>
    </w:tbl>
    <w:p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type w:val="continuous"/>
          <w:pgSz w:h="16839" w:w="11907"/>
          <w:pgMar w:left="1134" w:top="1134" w:right="1134" w:bottom="1134"/>
          <w:paperSrc w:first="0" w:other="0" a="0" b="0"/>
          <w:pgNumType w:fmt="decimal"/>
          <w:tmGutter w:val="1"/>
          <w:mirrorMargins w:val="0"/>
          <w:tmSection w:h="-1"/>
        </w:sectPr>
      </w:pPr>
    </w:p>
    <w:p>
      <w:pPr>
        <w:spacing/>
        <w:jc w:val="center"/>
        <w:suppressAutoHyphens/>
        <w:hyphenationLines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spacing/>
        <w:jc w:val="center"/>
        <w:suppressAutoHyphens/>
        <w:hyphenationLines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 к проекту постановления администрации Анжеро-Судженского городского округа </w:t>
      </w:r>
      <w:bookmarkStart w:id="0" w:name="__DdeLink__4836_1800157355"/>
      <w:r>
        <w:rPr>
          <w:b/>
          <w:bCs/>
          <w:sz w:val="28"/>
          <w:szCs w:val="28"/>
        </w:rPr>
        <w:t>«Об утверждении муниципальной программы администрации Анжеро-Судженского городского округа «Развитие и поддержка субъектов малого и среднего предпринимательства Анжеро-Судженского городского округа»</w:t>
      </w:r>
    </w:p>
    <w:p>
      <w:pPr>
        <w:suppressAutoHyphens/>
        <w:hyphenationLines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ind w:firstLine="567"/>
        <w:spacing/>
        <w:jc w:val="both"/>
        <w:suppressAutoHyphens/>
        <w:hyphenationLines w:val="0"/>
        <w:rPr>
          <w:sz w:val="28"/>
          <w:szCs w:val="28"/>
        </w:rPr>
      </w:pPr>
      <w:r>
        <w:rPr>
          <w:sz w:val="28"/>
          <w:szCs w:val="28"/>
        </w:rPr>
        <w:t>Проект постановления разработан в соответствии с Федеральным законом от 06.10.2003 №131-ФЗ «Об общих принципах организации местного самоуправления в Российской Федерации», постановлением администрации Анжеро-Судженского городского округа от 15.07.2025 №721 «О порядке разработки и реализации муниципальных программ Анжеро-Судженского городского округа Кемеровской области — Кузбасса и признании утратившими силу некоторых постановлений администрации Анжеро-Судженского городского округа».</w:t>
      </w:r>
    </w:p>
    <w:p>
      <w:pPr>
        <w:ind w:firstLine="567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Малое предпринимательство – это совокупность экономических и социальных отношений, связанных с обеспечением жителей городского округа рабочими местами и необходимыми им товарами, и услугами. Малое предпринимательство в значительной степени способствует формированию конкурентной среды, а также установлению рыночного равновесия.</w:t>
      </w:r>
    </w:p>
    <w:p>
      <w:pPr>
        <w:ind w:firstLine="567"/>
        <w:spacing/>
        <w:jc w:val="both"/>
        <w:tabs defTabSz="708"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>Проблемы развития малого предпринимательства являются одними из важнейших для социально-экономического развития Анжеро-Судженского городского округа, т.к. создание дополнительных рабочих мест способствует повышению материального благосостояния населения и увеличению объемов налоговых поступлений в местный бюджет. Поэтому на уровне города необходима поддержка субъектов малого предпринимательства.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Целями настоящей программы являются создание благоприятных условий для развития субъектов малого и среднего предпринимательства, занятых производством и реализацией товарной продукции, оказанием услуг населению, осуществляющих приоритетные виды деятельности на территории города, также создание новых рабочих мест и увеличение доходов местного бюджета;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программы: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-совершенствование нормативно-правовой базы в сфере поддержки малого и среднего предпринимательства;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-развитие малого и среднего предпринимательства в производственной сфере и сфере услуг, увеличение числа субъектов малого предпринимательства;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-осуществление кредитно-финансовой, имущественной поддержки субъектов малого и среднего предпринимательства;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-содействие формированию положительного имиджа предпринимательской деятельности;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-максимальное удовлетворение потребностей субъектов малого и среднего предпринимательства в информационных и консультационных услугах;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-оказание финансовой поддержки субъектов малого и среднего предпринимательства;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-стимулирование инвестиционной деятельности, привлечение резидентов ТОСЭР в экономику городского округа.</w:t>
      </w:r>
    </w:p>
    <w:p>
      <w:pPr>
        <w:ind w:firstLine="567"/>
        <w:spacing/>
        <w:jc w:val="both"/>
        <w:suppressAutoHyphens/>
        <w:hyphenationLines w:val="0"/>
        <w:rPr>
          <w:sz w:val="28"/>
          <w:szCs w:val="28"/>
        </w:rPr>
      </w:pPr>
      <w:r>
        <w:rPr>
          <w:sz w:val="28"/>
          <w:szCs w:val="28"/>
        </w:rPr>
        <w:t>Куратором муниципальной программы является заместитель главы Анжеро-Судженского городского округа по вопросам</w:t>
      </w:r>
      <w:r>
        <w:t xml:space="preserve"> </w:t>
      </w:r>
      <w:r>
        <w:rPr>
          <w:sz w:val="28"/>
          <w:szCs w:val="28"/>
        </w:rPr>
        <w:t>экономики, промышленности, потребительского рынка, связи.</w:t>
      </w:r>
    </w:p>
    <w:p>
      <w:pPr>
        <w:ind w:firstLine="567"/>
        <w:spacing/>
        <w:jc w:val="both"/>
        <w:suppressAutoHyphens/>
        <w:hyphenationLines w:val="0"/>
        <w:rPr>
          <w:sz w:val="28"/>
          <w:szCs w:val="28"/>
        </w:rPr>
      </w:pPr>
      <w:r>
        <w:rPr>
          <w:sz w:val="28"/>
          <w:szCs w:val="28"/>
        </w:rPr>
        <w:t>Ответственный исполнитель: отдел промышленности и предпринимательства управления экономического развития, промышленности и предпринимательства администрации Анжеро-Судженского городского округа.</w:t>
      </w:r>
    </w:p>
    <w:p>
      <w:pPr>
        <w:ind w:firstLine="567"/>
        <w:spacing/>
        <w:jc w:val="both"/>
        <w:suppressAutoHyphens/>
        <w:hyphenationLines w:val="0"/>
        <w:rPr>
          <w:sz w:val="28"/>
          <w:szCs w:val="28"/>
        </w:rPr>
      </w:pPr>
      <w:r>
        <w:rPr>
          <w:sz w:val="28"/>
          <w:szCs w:val="28"/>
        </w:rPr>
        <w:t>Период реализации программы: 2026-2030 годы.</w:t>
      </w:r>
    </w:p>
    <w:p>
      <w:pPr>
        <w:ind w:firstLine="567"/>
        <w:spacing/>
        <w:jc w:val="both"/>
        <w:suppressAutoHyphens/>
        <w:hyphenationLines w:val="0"/>
        <w:rPr>
          <w:sz w:val="28"/>
          <w:szCs w:val="28"/>
        </w:rPr>
      </w:pPr>
      <w:r>
        <w:rPr>
          <w:sz w:val="28"/>
          <w:szCs w:val="28"/>
        </w:rPr>
        <w:t>В целях проведения независимой антикоррупционной экспертизы и проведения общественного обсуждения проект постановления размещен на официальном сайте Анжеро-Судженского городского округа в информационно-телекоммуникационной сети интернет.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9" w:w="11907"/>
      <w:pgMar w:left="1134" w:top="1134" w:right="1134" w:bottom="1134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PT Astra Serif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14"/>
    <w:tmLastPosCaret>
      <w:tmLastPosPgfIdx w:val="1"/>
      <w:tmLastPosIdx w:val="51"/>
    </w:tmLastPosCaret>
    <w:tmLastPosAnchor>
      <w:tmLastPosPgfIdx w:val="0"/>
      <w:tmLastPosIdx w:val="0"/>
    </w:tmLastPosAnchor>
    <w:tmLastPosTblRect w:left="0" w:top="0" w:right="0" w:bottom="0"/>
  </w:tmLastPos>
  <w:tmAppRevision w:date="1754964045" w:val="1222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Table Paragraph"/>
    <w:qFormat/>
    <w:basedOn w:val="para0"/>
    <w:pPr>
      <w:suppressAutoHyphens/>
      <w:hyphenationLines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Times New Roman"/>
      <w:kern w:val="0"/>
      <w:sz w:val="24"/>
      <w:szCs w:val="24"/>
      <w:lang w:val="ru-ru" w:eastAsia="zh-cn" w:bidi="ar-sa"/>
    </w:rPr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Table Paragraph"/>
    <w:qFormat/>
    <w:basedOn w:val="para0"/>
    <w:pPr>
      <w:suppressAutoHyphens/>
      <w:hyphenationLines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Times New Roman"/>
      <w:kern w:val="0"/>
      <w:sz w:val="24"/>
      <w:szCs w:val="24"/>
      <w:lang w:val="ru-ru" w:eastAsia="zh-cn" w:bidi="ar-sa"/>
    </w:rPr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2025-08-12T01:03:24Z</dcterms:created>
  <dcterms:modified xsi:type="dcterms:W3CDTF">2025-08-12T02:00:45Z</dcterms:modified>
</cp:coreProperties>
</file>